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 xml:space="preserve">ssessment in </w:t>
      </w:r>
      <w:r w:rsidR="00EB13ED">
        <w:rPr>
          <w:rFonts w:ascii="SassoonInfant" w:hAnsi="SassoonInfant"/>
          <w:b/>
          <w:sz w:val="40"/>
          <w:szCs w:val="24"/>
          <w:u w:val="single"/>
        </w:rPr>
        <w:t>Modern Foreign Language (MFL)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EB13ED" w:rsidRDefault="00EB13ED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On the first page in MFL books, year group skill development overviews </w:t>
      </w:r>
      <w:r w:rsidR="00DC3B78">
        <w:rPr>
          <w:rFonts w:ascii="SassoonInfant" w:hAnsi="SassoonInfant"/>
          <w:sz w:val="24"/>
          <w:szCs w:val="24"/>
        </w:rPr>
        <w:t>are</w:t>
      </w:r>
      <w:r>
        <w:rPr>
          <w:rFonts w:ascii="SassoonInfant" w:hAnsi="SassoonInfant"/>
          <w:sz w:val="24"/>
          <w:szCs w:val="24"/>
        </w:rPr>
        <w:t xml:space="preserve"> be glued into pupils books and referred to in all units of work over the course of the year.</w:t>
      </w:r>
    </w:p>
    <w:p w:rsidR="00EB13ED" w:rsidRDefault="00EB13ED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Pupils </w:t>
      </w:r>
      <w:r w:rsidR="00DC3B78">
        <w:rPr>
          <w:rFonts w:ascii="SassoonInfant" w:hAnsi="SassoonInfant"/>
          <w:sz w:val="24"/>
          <w:szCs w:val="24"/>
        </w:rPr>
        <w:t xml:space="preserve">are </w:t>
      </w:r>
      <w:r>
        <w:rPr>
          <w:rFonts w:ascii="SassoonInfant" w:hAnsi="SassoonInfant"/>
          <w:sz w:val="24"/>
          <w:szCs w:val="24"/>
        </w:rPr>
        <w:t>guided to self-assess and peer-assess (</w:t>
      </w:r>
      <w:r w:rsidRPr="00EB13ED">
        <w:rPr>
          <w:rFonts w:ascii="SassoonInfant" w:hAnsi="SassoonInfant"/>
          <w:i/>
          <w:sz w:val="24"/>
          <w:szCs w:val="24"/>
        </w:rPr>
        <w:t>where appropriate</w:t>
      </w:r>
      <w:r>
        <w:rPr>
          <w:rFonts w:ascii="SassoonInfant" w:hAnsi="SassoonInfant"/>
          <w:sz w:val="24"/>
          <w:szCs w:val="24"/>
        </w:rPr>
        <w:t>) against these targets in each lesson so that they are fully informed about their achievements, progress and next steps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EB13ED" w:rsidRDefault="00EB13ED" w:rsidP="00EB13ED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EB13ED">
      <w:pPr>
        <w:pStyle w:val="NoSpacing"/>
        <w:jc w:val="center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26F578B" wp14:editId="1C787F84">
            <wp:extent cx="4801184" cy="569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409" t="16847" r="32030" b="6010"/>
                    <a:stretch/>
                  </pic:blipFill>
                  <pic:spPr bwMode="auto">
                    <a:xfrm>
                      <a:off x="0" y="0"/>
                      <a:ext cx="4821829" cy="5720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DC3B78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>use a range of Assessment for Learning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116E32" w:rsidRP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r w:rsidR="00DC3B78">
        <w:rPr>
          <w:rFonts w:ascii="SassoonInfant" w:hAnsi="SassoonInfant"/>
          <w:sz w:val="24"/>
          <w:szCs w:val="24"/>
        </w:rPr>
        <w:t xml:space="preserve">are </w:t>
      </w:r>
      <w:r w:rsidRPr="00116E32">
        <w:rPr>
          <w:rFonts w:ascii="SassoonInfant" w:hAnsi="SassoonInfant"/>
          <w:sz w:val="24"/>
          <w:szCs w:val="24"/>
        </w:rPr>
        <w:t>assessed formally by Class Teachers at the end of each unit of work</w:t>
      </w:r>
      <w:r w:rsidR="00E81C62">
        <w:rPr>
          <w:rFonts w:ascii="SassoonInfant" w:hAnsi="SassoonInfant"/>
          <w:sz w:val="24"/>
          <w:szCs w:val="24"/>
        </w:rPr>
        <w:t xml:space="preserve"> (once per</w:t>
      </w:r>
      <w:r w:rsidR="00E35C00">
        <w:rPr>
          <w:rFonts w:ascii="SassoonInfant" w:hAnsi="SassoonInfant"/>
          <w:sz w:val="24"/>
          <w:szCs w:val="24"/>
        </w:rPr>
        <w:t xml:space="preserve"> half</w:t>
      </w:r>
      <w:r w:rsidR="00E81C62">
        <w:rPr>
          <w:rFonts w:ascii="SassoonInfant" w:hAnsi="SassoonInfant"/>
          <w:sz w:val="24"/>
          <w:szCs w:val="24"/>
        </w:rPr>
        <w:t xml:space="preserve"> term)</w:t>
      </w:r>
      <w:r w:rsidRPr="00116E32">
        <w:rPr>
          <w:rFonts w:ascii="SassoonInfant" w:hAnsi="SassoonInfant"/>
          <w:sz w:val="24"/>
          <w:szCs w:val="24"/>
        </w:rPr>
        <w:t>.</w:t>
      </w:r>
    </w:p>
    <w:p w:rsidR="00906544" w:rsidRPr="00EB13ED" w:rsidRDefault="00116E32" w:rsidP="00906544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An </w:t>
      </w:r>
      <w:r w:rsidR="00EB13ED">
        <w:rPr>
          <w:rFonts w:ascii="SassoonInfant" w:hAnsi="SassoonInfant"/>
          <w:sz w:val="24"/>
          <w:szCs w:val="24"/>
        </w:rPr>
        <w:t>online Tracking and Progression Tool (provided by Language Angels)</w:t>
      </w:r>
      <w:r w:rsidRPr="00116E32">
        <w:rPr>
          <w:rFonts w:ascii="SassoonInfant" w:hAnsi="SassoonInfant"/>
          <w:sz w:val="24"/>
          <w:szCs w:val="24"/>
        </w:rPr>
        <w:t xml:space="preserve"> </w:t>
      </w:r>
      <w:r w:rsidR="00DC3B78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used to minimise unnecessary workload and enable data to be automatically calculated.</w:t>
      </w:r>
    </w:p>
    <w:p w:rsidR="00906544" w:rsidRDefault="00906544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can choose whether to update the </w:t>
      </w:r>
      <w:r w:rsidR="00EB13ED">
        <w:rPr>
          <w:rFonts w:ascii="SassoonInfant" w:hAnsi="SassoonInfant"/>
          <w:sz w:val="24"/>
          <w:szCs w:val="24"/>
        </w:rPr>
        <w:t>online tracking and progression tool</w:t>
      </w:r>
      <w:r>
        <w:rPr>
          <w:rFonts w:ascii="SassoonInfant" w:hAnsi="SassoonInfant"/>
          <w:sz w:val="24"/>
          <w:szCs w:val="24"/>
        </w:rPr>
        <w:t xml:space="preserve"> at the end of each lesson or at the end of the unit of work</w:t>
      </w:r>
    </w:p>
    <w:p w:rsidR="00EB13ED" w:rsidRDefault="00EB13ED" w:rsidP="004D7D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 w:rsidRPr="00EB13ED">
        <w:rPr>
          <w:rFonts w:ascii="SassoonInfant" w:hAnsi="SassoonInfant" w:cs="Gadugi"/>
          <w:sz w:val="24"/>
          <w:szCs w:val="24"/>
        </w:rPr>
        <w:t>The Language Angels Tracking &amp; Progression Tool is designed to work by recording the progress of each of your pupils as measured by the Language Angels End Of Unit Skills Assessments provided in Lesson 6 of each teachin</w:t>
      </w:r>
      <w:r>
        <w:rPr>
          <w:rFonts w:ascii="SassoonInfant" w:hAnsi="SassoonInfant" w:cs="Gadugi"/>
          <w:sz w:val="24"/>
          <w:szCs w:val="24"/>
        </w:rPr>
        <w:t>g unit</w:t>
      </w:r>
    </w:p>
    <w:p w:rsidR="00EB13ED" w:rsidRDefault="00EB13ED" w:rsidP="004D7D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>
        <w:rPr>
          <w:rFonts w:ascii="SassoonInfant" w:hAnsi="SassoonInfant" w:cs="Gadugi"/>
          <w:sz w:val="24"/>
          <w:szCs w:val="24"/>
        </w:rPr>
        <w:t>Each pupils learning and assessment is assessed and measured against each of the four key language learning skills (speaking, listening, reading and writing)</w:t>
      </w:r>
    </w:p>
    <w:p w:rsidR="00EB13ED" w:rsidRPr="00EB13ED" w:rsidRDefault="00EB13ED" w:rsidP="003B7D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 w:rsidRPr="00EB13ED">
        <w:rPr>
          <w:rFonts w:ascii="SassoonInfant" w:hAnsi="SassoonInfant" w:cs="Gadugi"/>
          <w:sz w:val="24"/>
          <w:szCs w:val="24"/>
        </w:rPr>
        <w:t>Each of these four skills is assessed by asking the pupils in your class to answer 5 questions per skill - giving a possible maximum score of 20 for any unit skills assessment. The questions are unit specific and are based on the language your pupils have been taught in that particular unit.</w:t>
      </w:r>
    </w:p>
    <w:p w:rsidR="00EB13ED" w:rsidRPr="00EB13ED" w:rsidRDefault="00EB13ED" w:rsidP="00D912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 w:rsidRPr="00EB13ED">
        <w:rPr>
          <w:rFonts w:ascii="SassoonInfant" w:hAnsi="SassoonInfant" w:cs="Gadugi"/>
          <w:sz w:val="24"/>
          <w:szCs w:val="24"/>
        </w:rPr>
        <w:t>Five performance b</w:t>
      </w:r>
      <w:r w:rsidR="00DC3B78">
        <w:rPr>
          <w:rFonts w:ascii="SassoonInfant" w:hAnsi="SassoonInfant" w:cs="Gadugi"/>
          <w:sz w:val="24"/>
          <w:szCs w:val="24"/>
        </w:rPr>
        <w:t xml:space="preserve">ands (or level descriptors) are then </w:t>
      </w:r>
      <w:r w:rsidRPr="00EB13ED">
        <w:rPr>
          <w:rFonts w:ascii="SassoonInfant" w:hAnsi="SassoonInfant" w:cs="Gadugi"/>
          <w:sz w:val="24"/>
          <w:szCs w:val="24"/>
        </w:rPr>
        <w:t>used to best describe the performance and progression of each pupil at any given time in their language learning journey. The performance bands also have a percentage mark equivalent.</w:t>
      </w:r>
    </w:p>
    <w:p w:rsidR="00EB13ED" w:rsidRDefault="00EB13ED" w:rsidP="00D74A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 w:rsidRPr="00EB13ED">
        <w:rPr>
          <w:rFonts w:ascii="SassoonInfant" w:hAnsi="SassoonInfant" w:cs="Gadugi"/>
          <w:sz w:val="24"/>
          <w:szCs w:val="24"/>
        </w:rPr>
        <w:t>The performance bands/level d</w:t>
      </w:r>
      <w:r w:rsidR="00DC3B78">
        <w:rPr>
          <w:rFonts w:ascii="SassoonInfant" w:hAnsi="SassoonInfant" w:cs="Gadugi"/>
          <w:sz w:val="24"/>
          <w:szCs w:val="24"/>
        </w:rPr>
        <w:t xml:space="preserve">escriptors </w:t>
      </w:r>
      <w:r w:rsidRPr="00EB13ED">
        <w:rPr>
          <w:rFonts w:ascii="SassoonInfant" w:hAnsi="SassoonInfant" w:cs="Gadugi"/>
          <w:sz w:val="24"/>
          <w:szCs w:val="24"/>
        </w:rPr>
        <w:t>use</w:t>
      </w:r>
      <w:r w:rsidR="00DC3B78">
        <w:rPr>
          <w:rFonts w:ascii="SassoonInfant" w:hAnsi="SassoonInfant" w:cs="Gadugi"/>
          <w:sz w:val="24"/>
          <w:szCs w:val="24"/>
        </w:rPr>
        <w:t>d</w:t>
      </w:r>
      <w:r w:rsidRPr="00EB13ED">
        <w:rPr>
          <w:rFonts w:ascii="SassoonInfant" w:hAnsi="SassoonInfant" w:cs="Gadugi"/>
          <w:sz w:val="24"/>
          <w:szCs w:val="24"/>
        </w:rPr>
        <w:t xml:space="preserve"> in the Tracking &amp; Progression Tool are:</w:t>
      </w:r>
    </w:p>
    <w:p w:rsidR="00EB13ED" w:rsidRPr="00EB13ED" w:rsidRDefault="00EB13ED" w:rsidP="00EB13ED">
      <w:p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3544"/>
      </w:tblGrid>
      <w:tr w:rsidR="00EB13ED" w:rsidTr="00EB13ED">
        <w:trPr>
          <w:trHeight w:val="122"/>
          <w:jc w:val="center"/>
        </w:trPr>
        <w:tc>
          <w:tcPr>
            <w:tcW w:w="2014" w:type="dxa"/>
          </w:tcPr>
          <w:p w:rsidR="00EB13ED" w:rsidRPr="00306EC9" w:rsidRDefault="00EB13ED" w:rsidP="002521A9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306EC9">
              <w:rPr>
                <w:rFonts w:ascii="SassoonInfant" w:hAnsi="SassoonInfant"/>
                <w:b/>
                <w:sz w:val="24"/>
              </w:rPr>
              <w:t>0%-25%</w:t>
            </w:r>
          </w:p>
        </w:tc>
        <w:tc>
          <w:tcPr>
            <w:tcW w:w="3544" w:type="dxa"/>
            <w:shd w:val="clear" w:color="auto" w:fill="FFCCFF"/>
          </w:tcPr>
          <w:p w:rsidR="00EB13ED" w:rsidRDefault="00EB13ED" w:rsidP="002521A9">
            <w:pPr>
              <w:jc w:val="center"/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Working Towards ARE</w:t>
            </w:r>
          </w:p>
        </w:tc>
      </w:tr>
      <w:tr w:rsidR="00EB13ED" w:rsidTr="00EB13ED">
        <w:trPr>
          <w:trHeight w:val="116"/>
          <w:jc w:val="center"/>
        </w:trPr>
        <w:tc>
          <w:tcPr>
            <w:tcW w:w="2014" w:type="dxa"/>
          </w:tcPr>
          <w:p w:rsidR="00EB13ED" w:rsidRPr="00306EC9" w:rsidRDefault="00EB13ED" w:rsidP="002521A9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306EC9">
              <w:rPr>
                <w:rFonts w:ascii="SassoonInfant" w:hAnsi="SassoonInfant"/>
                <w:b/>
                <w:sz w:val="24"/>
              </w:rPr>
              <w:t>26%-45%</w:t>
            </w:r>
          </w:p>
        </w:tc>
        <w:tc>
          <w:tcPr>
            <w:tcW w:w="3544" w:type="dxa"/>
            <w:shd w:val="clear" w:color="auto" w:fill="FFFF99"/>
          </w:tcPr>
          <w:p w:rsidR="00EB13ED" w:rsidRDefault="00EB13ED" w:rsidP="002521A9">
            <w:pPr>
              <w:jc w:val="center"/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Emerging ARE</w:t>
            </w:r>
          </w:p>
        </w:tc>
      </w:tr>
      <w:tr w:rsidR="00EB13ED" w:rsidTr="00EB13ED">
        <w:trPr>
          <w:trHeight w:val="122"/>
          <w:jc w:val="center"/>
        </w:trPr>
        <w:tc>
          <w:tcPr>
            <w:tcW w:w="2014" w:type="dxa"/>
          </w:tcPr>
          <w:p w:rsidR="00EB13ED" w:rsidRPr="00306EC9" w:rsidRDefault="00EB13ED" w:rsidP="002521A9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306EC9">
              <w:rPr>
                <w:rFonts w:ascii="SassoonInfant" w:hAnsi="SassoonInfant"/>
                <w:b/>
                <w:sz w:val="24"/>
              </w:rPr>
              <w:t>46%-65%</w:t>
            </w:r>
          </w:p>
        </w:tc>
        <w:tc>
          <w:tcPr>
            <w:tcW w:w="3544" w:type="dxa"/>
            <w:shd w:val="clear" w:color="auto" w:fill="FFFF00"/>
          </w:tcPr>
          <w:p w:rsidR="00EB13ED" w:rsidRDefault="00EB13ED" w:rsidP="002521A9">
            <w:pPr>
              <w:jc w:val="center"/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Working at ARE</w:t>
            </w:r>
          </w:p>
        </w:tc>
      </w:tr>
      <w:tr w:rsidR="00EB13ED" w:rsidTr="00EB13ED">
        <w:trPr>
          <w:trHeight w:val="116"/>
          <w:jc w:val="center"/>
        </w:trPr>
        <w:tc>
          <w:tcPr>
            <w:tcW w:w="2014" w:type="dxa"/>
          </w:tcPr>
          <w:p w:rsidR="00EB13ED" w:rsidRPr="00306EC9" w:rsidRDefault="00EB13ED" w:rsidP="002521A9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306EC9">
              <w:rPr>
                <w:rFonts w:ascii="SassoonInfant" w:hAnsi="SassoonInfant"/>
                <w:b/>
                <w:sz w:val="24"/>
              </w:rPr>
              <w:t>66%-85%</w:t>
            </w:r>
          </w:p>
        </w:tc>
        <w:tc>
          <w:tcPr>
            <w:tcW w:w="3544" w:type="dxa"/>
            <w:shd w:val="clear" w:color="auto" w:fill="66FF99"/>
          </w:tcPr>
          <w:p w:rsidR="00EB13ED" w:rsidRDefault="00EB13ED" w:rsidP="002521A9">
            <w:pPr>
              <w:jc w:val="center"/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Working Towards Greater Depth</w:t>
            </w:r>
          </w:p>
        </w:tc>
      </w:tr>
      <w:tr w:rsidR="00EB13ED" w:rsidTr="00EB13ED">
        <w:trPr>
          <w:trHeight w:val="122"/>
          <w:jc w:val="center"/>
        </w:trPr>
        <w:tc>
          <w:tcPr>
            <w:tcW w:w="2014" w:type="dxa"/>
          </w:tcPr>
          <w:p w:rsidR="00EB13ED" w:rsidRPr="00306EC9" w:rsidRDefault="00EB13ED" w:rsidP="002521A9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306EC9">
              <w:rPr>
                <w:rFonts w:ascii="SassoonInfant" w:hAnsi="SassoonInfant"/>
                <w:b/>
                <w:sz w:val="24"/>
              </w:rPr>
              <w:t>86%-100%</w:t>
            </w:r>
          </w:p>
        </w:tc>
        <w:tc>
          <w:tcPr>
            <w:tcW w:w="3544" w:type="dxa"/>
            <w:shd w:val="clear" w:color="auto" w:fill="00FF00"/>
          </w:tcPr>
          <w:p w:rsidR="00EB13ED" w:rsidRDefault="00EB13ED" w:rsidP="002521A9">
            <w:pPr>
              <w:jc w:val="center"/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Working at Greater Depth</w:t>
            </w:r>
          </w:p>
        </w:tc>
      </w:tr>
    </w:tbl>
    <w:p w:rsidR="00EB13ED" w:rsidRDefault="00EB13ED" w:rsidP="00116E32">
      <w:pPr>
        <w:rPr>
          <w:rFonts w:ascii="SassoonInfant" w:hAnsi="SassoonInfant"/>
          <w:sz w:val="24"/>
        </w:rPr>
      </w:pPr>
    </w:p>
    <w:p w:rsidR="00116E32" w:rsidRPr="00EB13ED" w:rsidRDefault="00DC3B78" w:rsidP="00F85C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assoonInfant" w:hAnsi="SassoonInfant"/>
          <w:sz w:val="24"/>
          <w:szCs w:val="24"/>
        </w:rPr>
      </w:pPr>
      <w:r>
        <w:rPr>
          <w:rFonts w:ascii="SassoonInfant" w:hAnsi="SassoonInfant" w:cs="Gadugi"/>
          <w:sz w:val="24"/>
          <w:szCs w:val="24"/>
        </w:rPr>
        <w:t xml:space="preserve">The Tracking &amp; Progression tool </w:t>
      </w:r>
      <w:r w:rsidR="00EB13ED" w:rsidRPr="00EB13ED">
        <w:rPr>
          <w:rFonts w:ascii="SassoonInfant" w:hAnsi="SassoonInfant" w:cs="Gadugi"/>
          <w:sz w:val="24"/>
          <w:szCs w:val="24"/>
        </w:rPr>
        <w:t>then enable</w:t>
      </w:r>
      <w:r>
        <w:rPr>
          <w:rFonts w:ascii="SassoonInfant" w:hAnsi="SassoonInfant" w:cs="Gadugi"/>
          <w:sz w:val="24"/>
          <w:szCs w:val="24"/>
        </w:rPr>
        <w:t>s</w:t>
      </w:r>
      <w:r w:rsidR="00EB13ED" w:rsidRPr="00EB13ED">
        <w:rPr>
          <w:rFonts w:ascii="SassoonInfant" w:hAnsi="SassoonInfant" w:cs="Gadugi"/>
          <w:sz w:val="24"/>
          <w:szCs w:val="24"/>
        </w:rPr>
        <w:t xml:space="preserve"> teachers to generate reports showing class progression against the 12 teaching targets stipulated in the DfE Key Stage 2 Languages Programme of Study as well as individual pupil performance in each language learning skill. They will also be able to describe performance using the performance bands detailed above.</w:t>
      </w: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Default="00DC3B78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16E32">
        <w:rPr>
          <w:rFonts w:ascii="SassoonInfant" w:hAnsi="SassoonInfant"/>
          <w:sz w:val="24"/>
          <w:szCs w:val="24"/>
        </w:rPr>
        <w:t>share completed assessment spreadsheets with the Subject Leader and Curriculum Lead (DHT) at the end of each unit</w:t>
      </w:r>
    </w:p>
    <w:p w:rsidR="00116E32" w:rsidRPr="00116E32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data submitted </w:t>
      </w:r>
      <w:r w:rsidR="00DC3B78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analysed by Leaders in order to identify</w:t>
      </w:r>
      <w:r w:rsidR="00F70BF6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DC3B78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Non-Core assessment data is r</w:t>
      </w:r>
      <w:r w:rsidR="006232DD" w:rsidRPr="00116E32">
        <w:rPr>
          <w:rFonts w:ascii="SassoonInfant" w:hAnsi="SassoonInfant"/>
          <w:sz w:val="24"/>
          <w:szCs w:val="24"/>
        </w:rPr>
        <w:t xml:space="preserve">eviewed termly by Subject Leads, the Curriculum Lead and SLT and </w:t>
      </w:r>
      <w:r w:rsidR="009D357B">
        <w:rPr>
          <w:rFonts w:ascii="SassoonInfant" w:hAnsi="SassoonInfant"/>
          <w:sz w:val="24"/>
          <w:szCs w:val="24"/>
        </w:rPr>
        <w:t xml:space="preserve">is </w:t>
      </w:r>
      <w:bookmarkStart w:id="0" w:name="_GoBack"/>
      <w:bookmarkEnd w:id="0"/>
      <w:r w:rsidR="006232DD" w:rsidRPr="00116E32">
        <w:rPr>
          <w:rFonts w:ascii="SassoonInfant" w:hAnsi="SassoonInfant"/>
          <w:sz w:val="24"/>
          <w:szCs w:val="24"/>
        </w:rPr>
        <w:t>subject to internal moderation.</w:t>
      </w:r>
    </w:p>
    <w:p w:rsidR="006232DD" w:rsidRPr="00116E32" w:rsidRDefault="00DC3B78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32" w:rsidRDefault="00462032" w:rsidP="008377AA">
      <w:pPr>
        <w:spacing w:after="0" w:line="240" w:lineRule="auto"/>
      </w:pPr>
      <w:r>
        <w:separator/>
      </w:r>
    </w:p>
  </w:endnote>
  <w:endnote w:type="continuationSeparator" w:id="0">
    <w:p w:rsidR="00462032" w:rsidRDefault="00462032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9D357B">
          <w:rPr>
            <w:rFonts w:ascii="SassoonInfant" w:hAnsi="SassoonInfant"/>
            <w:noProof/>
            <w:sz w:val="24"/>
            <w:szCs w:val="24"/>
          </w:rPr>
          <w:t>3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32" w:rsidRDefault="00462032" w:rsidP="008377AA">
      <w:pPr>
        <w:spacing w:after="0" w:line="240" w:lineRule="auto"/>
      </w:pPr>
      <w:r>
        <w:separator/>
      </w:r>
    </w:p>
  </w:footnote>
  <w:footnote w:type="continuationSeparator" w:id="0">
    <w:p w:rsidR="00462032" w:rsidRDefault="00462032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5CB6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4426F"/>
    <w:multiLevelType w:val="hybridMultilevel"/>
    <w:tmpl w:val="C54EE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B20FD"/>
    <w:multiLevelType w:val="hybridMultilevel"/>
    <w:tmpl w:val="733C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C0323"/>
    <w:rsid w:val="00111322"/>
    <w:rsid w:val="00116E32"/>
    <w:rsid w:val="00143CBA"/>
    <w:rsid w:val="00161425"/>
    <w:rsid w:val="00196B8A"/>
    <w:rsid w:val="001B46D6"/>
    <w:rsid w:val="00221291"/>
    <w:rsid w:val="00292879"/>
    <w:rsid w:val="002B686F"/>
    <w:rsid w:val="00306EC9"/>
    <w:rsid w:val="003706E1"/>
    <w:rsid w:val="004451E7"/>
    <w:rsid w:val="00462032"/>
    <w:rsid w:val="00466864"/>
    <w:rsid w:val="0046705B"/>
    <w:rsid w:val="0048013A"/>
    <w:rsid w:val="005163AA"/>
    <w:rsid w:val="00530165"/>
    <w:rsid w:val="00575D21"/>
    <w:rsid w:val="005B5547"/>
    <w:rsid w:val="005B77EF"/>
    <w:rsid w:val="005F2BDA"/>
    <w:rsid w:val="006232DD"/>
    <w:rsid w:val="00641BDE"/>
    <w:rsid w:val="00645A87"/>
    <w:rsid w:val="00663174"/>
    <w:rsid w:val="006C76DA"/>
    <w:rsid w:val="007315B4"/>
    <w:rsid w:val="00743299"/>
    <w:rsid w:val="0075122D"/>
    <w:rsid w:val="007A03EC"/>
    <w:rsid w:val="007B6D40"/>
    <w:rsid w:val="00824EC0"/>
    <w:rsid w:val="008377AA"/>
    <w:rsid w:val="00871A49"/>
    <w:rsid w:val="008749FB"/>
    <w:rsid w:val="008E045B"/>
    <w:rsid w:val="008E740A"/>
    <w:rsid w:val="00901DDE"/>
    <w:rsid w:val="00906544"/>
    <w:rsid w:val="00907140"/>
    <w:rsid w:val="00977B58"/>
    <w:rsid w:val="009D357B"/>
    <w:rsid w:val="00A37A80"/>
    <w:rsid w:val="00AD2569"/>
    <w:rsid w:val="00B12CFB"/>
    <w:rsid w:val="00B22B38"/>
    <w:rsid w:val="00B232A2"/>
    <w:rsid w:val="00B85F17"/>
    <w:rsid w:val="00BC5332"/>
    <w:rsid w:val="00C0701B"/>
    <w:rsid w:val="00C34DD1"/>
    <w:rsid w:val="00C50B72"/>
    <w:rsid w:val="00C67E49"/>
    <w:rsid w:val="00C81C85"/>
    <w:rsid w:val="00CC68B5"/>
    <w:rsid w:val="00D159E6"/>
    <w:rsid w:val="00D3774F"/>
    <w:rsid w:val="00D4676B"/>
    <w:rsid w:val="00DB358C"/>
    <w:rsid w:val="00DC3A61"/>
    <w:rsid w:val="00DC3B78"/>
    <w:rsid w:val="00DC6B25"/>
    <w:rsid w:val="00DC71B3"/>
    <w:rsid w:val="00E35C00"/>
    <w:rsid w:val="00E45752"/>
    <w:rsid w:val="00E63C77"/>
    <w:rsid w:val="00E81C62"/>
    <w:rsid w:val="00EA6815"/>
    <w:rsid w:val="00EB13ED"/>
    <w:rsid w:val="00F12D17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F40D4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  <w:style w:type="paragraph" w:styleId="ListParagraph">
    <w:name w:val="List Paragraph"/>
    <w:basedOn w:val="Normal"/>
    <w:uiPriority w:val="34"/>
    <w:qFormat/>
    <w:rsid w:val="00EB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5</cp:revision>
  <dcterms:created xsi:type="dcterms:W3CDTF">2020-03-28T11:52:00Z</dcterms:created>
  <dcterms:modified xsi:type="dcterms:W3CDTF">2020-03-29T11:13:00Z</dcterms:modified>
</cp:coreProperties>
</file>